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EA749" w14:textId="73E9E656" w:rsidR="003517A3" w:rsidRPr="008D31B6" w:rsidRDefault="00B02079" w:rsidP="008D31B6">
      <w:pPr>
        <w:pStyle w:val="Nessunaspaziatura"/>
        <w:rPr>
          <w:sz w:val="24"/>
          <w:szCs w:val="24"/>
        </w:rPr>
      </w:pPr>
      <w:r w:rsidRPr="008D31B6">
        <w:rPr>
          <w:sz w:val="24"/>
          <w:szCs w:val="24"/>
        </w:rPr>
        <w:t xml:space="preserve">I </w:t>
      </w:r>
      <w:r w:rsidR="003517A3" w:rsidRPr="008D31B6">
        <w:rPr>
          <w:sz w:val="24"/>
          <w:szCs w:val="24"/>
        </w:rPr>
        <w:t xml:space="preserve">crediti formativi per il triennio 2020-2022 </w:t>
      </w:r>
      <w:r w:rsidR="008D31B6" w:rsidRPr="008D31B6">
        <w:rPr>
          <w:sz w:val="24"/>
          <w:szCs w:val="24"/>
        </w:rPr>
        <w:t xml:space="preserve">risultano </w:t>
      </w:r>
      <w:r w:rsidR="003517A3" w:rsidRPr="008D31B6">
        <w:rPr>
          <w:rStyle w:val="Enfasigrassetto"/>
          <w:rFonts w:cstheme="minorHAnsi"/>
          <w:color w:val="2C2F34"/>
          <w:sz w:val="24"/>
          <w:szCs w:val="24"/>
          <w:bdr w:val="none" w:sz="0" w:space="0" w:color="auto" w:frame="1"/>
        </w:rPr>
        <w:t>150 crediti formativi</w:t>
      </w:r>
      <w:r w:rsidR="003517A3" w:rsidRPr="008D31B6">
        <w:rPr>
          <w:sz w:val="24"/>
          <w:szCs w:val="24"/>
        </w:rPr>
        <w:t>.</w:t>
      </w:r>
    </w:p>
    <w:p w14:paraId="6D64CDE3" w14:textId="77777777" w:rsidR="008D31B6" w:rsidRPr="008D31B6" w:rsidRDefault="00B02079" w:rsidP="008D31B6">
      <w:pPr>
        <w:pStyle w:val="Nessunaspaziatura"/>
        <w:rPr>
          <w:sz w:val="24"/>
          <w:szCs w:val="24"/>
        </w:rPr>
      </w:pPr>
      <w:r w:rsidRPr="008D31B6">
        <w:rPr>
          <w:sz w:val="24"/>
          <w:szCs w:val="24"/>
        </w:rPr>
        <w:t>Ci sono de</w:t>
      </w:r>
      <w:r w:rsidR="008D31B6" w:rsidRPr="008D31B6">
        <w:rPr>
          <w:sz w:val="24"/>
          <w:szCs w:val="24"/>
        </w:rPr>
        <w:t>i</w:t>
      </w:r>
      <w:r w:rsidR="003517A3" w:rsidRPr="008D31B6">
        <w:rPr>
          <w:sz w:val="24"/>
          <w:szCs w:val="24"/>
        </w:rPr>
        <w:t xml:space="preserve"> bonus che andrebbero a ridurre il debito formativo.</w:t>
      </w:r>
    </w:p>
    <w:p w14:paraId="7040066C" w14:textId="076FF709" w:rsidR="003517A3" w:rsidRPr="008D31B6" w:rsidRDefault="003517A3" w:rsidP="008D31B6">
      <w:pPr>
        <w:pStyle w:val="Nessunaspaziatura"/>
        <w:rPr>
          <w:sz w:val="24"/>
          <w:szCs w:val="24"/>
          <w:u w:val="single"/>
        </w:rPr>
      </w:pPr>
      <w:r w:rsidRPr="008D31B6">
        <w:rPr>
          <w:sz w:val="24"/>
          <w:szCs w:val="24"/>
          <w:u w:val="single"/>
        </w:rPr>
        <w:t>Una prima condizione è quella di avere continuato l’attività lavorativa durante l’emergenza epidemiologica, dando diritto ad un </w:t>
      </w:r>
      <w:r w:rsidRPr="008D31B6">
        <w:rPr>
          <w:rStyle w:val="Enfasigrassetto"/>
          <w:rFonts w:cstheme="minorHAnsi"/>
          <w:color w:val="2C2F34"/>
          <w:sz w:val="24"/>
          <w:szCs w:val="24"/>
          <w:u w:val="single"/>
          <w:bdr w:val="none" w:sz="0" w:space="0" w:color="auto" w:frame="1"/>
        </w:rPr>
        <w:t>bonus di 50 crediti ECM</w:t>
      </w:r>
      <w:r w:rsidRPr="008D31B6">
        <w:rPr>
          <w:sz w:val="24"/>
          <w:szCs w:val="24"/>
          <w:u w:val="single"/>
        </w:rPr>
        <w:t>.</w:t>
      </w:r>
    </w:p>
    <w:p w14:paraId="634346BB" w14:textId="0A8E861E" w:rsidR="003517A3" w:rsidRPr="008D31B6" w:rsidRDefault="003517A3" w:rsidP="008D31B6">
      <w:pPr>
        <w:pStyle w:val="Nessunaspaziatura"/>
        <w:rPr>
          <w:sz w:val="24"/>
          <w:szCs w:val="24"/>
          <w:u w:val="single"/>
        </w:rPr>
      </w:pPr>
      <w:r w:rsidRPr="008D31B6">
        <w:rPr>
          <w:sz w:val="24"/>
          <w:szCs w:val="24"/>
          <w:u w:val="single"/>
        </w:rPr>
        <w:t>Altra condizione per cui si applica un ulteriore bonus è quello di avere acquisito per il periodo 2017-2019 tutti i crediti richiesti, dando diritto ad un </w:t>
      </w:r>
      <w:r w:rsidRPr="008D31B6">
        <w:rPr>
          <w:rStyle w:val="Enfasigrassetto"/>
          <w:rFonts w:cstheme="minorHAnsi"/>
          <w:color w:val="2C2F34"/>
          <w:sz w:val="24"/>
          <w:szCs w:val="24"/>
          <w:u w:val="single"/>
          <w:bdr w:val="none" w:sz="0" w:space="0" w:color="auto" w:frame="1"/>
        </w:rPr>
        <w:t>bonus di 30 cr</w:t>
      </w:r>
      <w:r w:rsidR="00B02079" w:rsidRPr="008D31B6">
        <w:rPr>
          <w:rStyle w:val="Enfasigrassetto"/>
          <w:rFonts w:cstheme="minorHAnsi"/>
          <w:color w:val="2C2F34"/>
          <w:sz w:val="24"/>
          <w:szCs w:val="24"/>
          <w:u w:val="single"/>
          <w:bdr w:val="none" w:sz="0" w:space="0" w:color="auto" w:frame="1"/>
        </w:rPr>
        <w:t>e</w:t>
      </w:r>
      <w:r w:rsidRPr="008D31B6">
        <w:rPr>
          <w:rStyle w:val="Enfasigrassetto"/>
          <w:rFonts w:cstheme="minorHAnsi"/>
          <w:color w:val="2C2F34"/>
          <w:sz w:val="24"/>
          <w:szCs w:val="24"/>
          <w:u w:val="single"/>
          <w:bdr w:val="none" w:sz="0" w:space="0" w:color="auto" w:frame="1"/>
        </w:rPr>
        <w:t>diti ECM</w:t>
      </w:r>
      <w:r w:rsidRPr="008D31B6">
        <w:rPr>
          <w:sz w:val="24"/>
          <w:szCs w:val="24"/>
          <w:u w:val="single"/>
        </w:rPr>
        <w:t>.</w:t>
      </w:r>
    </w:p>
    <w:p w14:paraId="26FD6A8C" w14:textId="18BBF176" w:rsidR="003517A3" w:rsidRPr="008D31B6" w:rsidRDefault="003517A3" w:rsidP="008D31B6">
      <w:pPr>
        <w:pStyle w:val="Nessunaspaziatura"/>
        <w:rPr>
          <w:sz w:val="24"/>
          <w:szCs w:val="24"/>
        </w:rPr>
      </w:pPr>
      <w:r w:rsidRPr="008D31B6">
        <w:rPr>
          <w:sz w:val="24"/>
          <w:szCs w:val="24"/>
        </w:rPr>
        <w:t>Se le condizioni precedentemente indicate fossero applicabili per il triennio 2020 -2022 i crediti formativi da acquisire </w:t>
      </w:r>
      <w:r w:rsidRPr="008D31B6">
        <w:rPr>
          <w:rStyle w:val="Enfasigrassetto"/>
          <w:rFonts w:cstheme="minorHAnsi"/>
          <w:color w:val="2C2F34"/>
          <w:sz w:val="24"/>
          <w:szCs w:val="24"/>
          <w:bdr w:val="none" w:sz="0" w:space="0" w:color="auto" w:frame="1"/>
        </w:rPr>
        <w:t>risulterebbero 70 ECM</w:t>
      </w:r>
      <w:r w:rsidRPr="008D31B6">
        <w:rPr>
          <w:sz w:val="24"/>
          <w:szCs w:val="24"/>
        </w:rPr>
        <w:t>.</w:t>
      </w:r>
    </w:p>
    <w:p w14:paraId="0DB13823" w14:textId="5E6AAECD" w:rsidR="005976D6" w:rsidRPr="008D31B6" w:rsidRDefault="00B02079" w:rsidP="008D31B6">
      <w:pPr>
        <w:pStyle w:val="Nessunaspaziatura"/>
        <w:rPr>
          <w:rFonts w:eastAsia="Times New Roman"/>
          <w:b/>
          <w:bCs/>
          <w:color w:val="AF151E"/>
          <w:sz w:val="24"/>
          <w:szCs w:val="24"/>
          <w:lang w:eastAsia="it-IT"/>
        </w:rPr>
      </w:pPr>
      <w:r w:rsidRPr="008D31B6">
        <w:rPr>
          <w:sz w:val="24"/>
          <w:szCs w:val="24"/>
          <w:shd w:val="clear" w:color="auto" w:fill="FFFFFF"/>
        </w:rPr>
        <w:t>Tutti</w:t>
      </w:r>
      <w:r w:rsidR="005976D6" w:rsidRPr="008D31B6">
        <w:rPr>
          <w:sz w:val="24"/>
          <w:szCs w:val="24"/>
          <w:shd w:val="clear" w:color="auto" w:fill="FFFFFF"/>
        </w:rPr>
        <w:t xml:space="preserve"> i professionisti possano accedere alla propria posizione formativa attraverso la piattaforma che </w:t>
      </w:r>
      <w:proofErr w:type="spellStart"/>
      <w:r w:rsidR="005976D6" w:rsidRPr="008D31B6">
        <w:rPr>
          <w:sz w:val="24"/>
          <w:szCs w:val="24"/>
          <w:shd w:val="clear" w:color="auto" w:fill="FFFFFF"/>
        </w:rPr>
        <w:t>Cogeaps</w:t>
      </w:r>
      <w:proofErr w:type="spellEnd"/>
      <w:r w:rsidR="005976D6" w:rsidRPr="008D31B6">
        <w:rPr>
          <w:sz w:val="24"/>
          <w:szCs w:val="24"/>
          <w:shd w:val="clear" w:color="auto" w:fill="FFFFFF"/>
        </w:rPr>
        <w:t xml:space="preserve"> mette a disposizione al sito </w:t>
      </w:r>
      <w:hyperlink r:id="rId6" w:tgtFrame="_blank" w:history="1">
        <w:r w:rsidR="005976D6" w:rsidRPr="008D31B6">
          <w:rPr>
            <w:rStyle w:val="Collegamentoipertestuale"/>
            <w:rFonts w:cstheme="minorHAnsi"/>
            <w:color w:val="CD0000"/>
            <w:sz w:val="24"/>
            <w:szCs w:val="24"/>
            <w:bdr w:val="none" w:sz="0" w:space="0" w:color="auto" w:frame="1"/>
            <w:shd w:val="clear" w:color="auto" w:fill="FFFFFF"/>
          </w:rPr>
          <w:t>www.cogeaps.it.</w:t>
        </w:r>
      </w:hyperlink>
      <w:r w:rsidR="005976D6" w:rsidRPr="008D31B6">
        <w:rPr>
          <w:rFonts w:eastAsia="Times New Roman"/>
          <w:b/>
          <w:bCs/>
          <w:color w:val="AF151E"/>
          <w:sz w:val="24"/>
          <w:szCs w:val="24"/>
          <w:lang w:eastAsia="it-IT"/>
        </w:rPr>
        <w:t xml:space="preserve"> ECM: Nuovo triennio 2020/2022. Le </w:t>
      </w:r>
      <w:proofErr w:type="spellStart"/>
      <w:r w:rsidR="005976D6" w:rsidRPr="008D31B6">
        <w:rPr>
          <w:rFonts w:eastAsia="Times New Roman"/>
          <w:b/>
          <w:bCs/>
          <w:color w:val="AF151E"/>
          <w:sz w:val="24"/>
          <w:szCs w:val="24"/>
          <w:lang w:eastAsia="it-IT"/>
        </w:rPr>
        <w:t>novita'</w:t>
      </w:r>
      <w:proofErr w:type="spellEnd"/>
      <w:r w:rsidR="005976D6" w:rsidRPr="008D31B6">
        <w:rPr>
          <w:rFonts w:eastAsia="Times New Roman"/>
          <w:b/>
          <w:bCs/>
          <w:color w:val="AF151E"/>
          <w:sz w:val="24"/>
          <w:szCs w:val="24"/>
          <w:lang w:eastAsia="it-IT"/>
        </w:rPr>
        <w:t xml:space="preserve"> e le regole</w:t>
      </w:r>
    </w:p>
    <w:p w14:paraId="62C355CD" w14:textId="446CF5C4" w:rsidR="005976D6" w:rsidRPr="008D31B6" w:rsidRDefault="005976D6" w:rsidP="008D31B6">
      <w:pPr>
        <w:pStyle w:val="Nessunaspaziatura"/>
        <w:rPr>
          <w:sz w:val="24"/>
          <w:szCs w:val="24"/>
          <w:lang w:eastAsia="it-IT"/>
        </w:rPr>
      </w:pPr>
      <w:r w:rsidRPr="008D31B6">
        <w:rPr>
          <w:sz w:val="24"/>
          <w:szCs w:val="24"/>
          <w:lang w:eastAsia="it-IT"/>
        </w:rPr>
        <w:t>Il debito formativo previsto per il triennio 2020-2022 è di 150 crediti.</w:t>
      </w:r>
      <w:r w:rsidRPr="008D31B6">
        <w:rPr>
          <w:sz w:val="24"/>
          <w:szCs w:val="24"/>
          <w:lang w:eastAsia="it-IT"/>
        </w:rPr>
        <w:br/>
        <w:t xml:space="preserve">Per il triennio 2020-2022, si </w:t>
      </w:r>
      <w:r w:rsidR="00B02079" w:rsidRPr="008D31B6">
        <w:rPr>
          <w:sz w:val="24"/>
          <w:szCs w:val="24"/>
          <w:lang w:eastAsia="it-IT"/>
        </w:rPr>
        <w:t>precisa</w:t>
      </w:r>
      <w:r w:rsidRPr="008D31B6">
        <w:rPr>
          <w:sz w:val="24"/>
          <w:szCs w:val="24"/>
          <w:lang w:eastAsia="it-IT"/>
        </w:rPr>
        <w:t xml:space="preserve"> :</w:t>
      </w:r>
      <w:r w:rsidRPr="008D31B6">
        <w:rPr>
          <w:sz w:val="24"/>
          <w:szCs w:val="24"/>
          <w:lang w:eastAsia="it-IT"/>
        </w:rPr>
        <w:br/>
      </w:r>
    </w:p>
    <w:p w14:paraId="7ABF976D" w14:textId="77777777" w:rsidR="005976D6" w:rsidRPr="008D31B6" w:rsidRDefault="005976D6" w:rsidP="008D31B6">
      <w:pPr>
        <w:pStyle w:val="Nessunaspaziatura"/>
        <w:rPr>
          <w:rFonts w:eastAsia="Times New Roman"/>
          <w:color w:val="313131"/>
          <w:sz w:val="24"/>
          <w:szCs w:val="24"/>
          <w:lang w:eastAsia="it-IT"/>
        </w:rPr>
      </w:pPr>
      <w:r w:rsidRPr="008D31B6">
        <w:rPr>
          <w:rFonts w:eastAsia="Times New Roman"/>
          <w:color w:val="313131"/>
          <w:sz w:val="24"/>
          <w:szCs w:val="24"/>
          <w:lang w:eastAsia="it-IT"/>
        </w:rPr>
        <w:t>è possibile prorogare di un anno, ovvero fino al 31/12/2020, la scadenza per l’acquisizione di crediti formativi relativi al triennio 2017-2019*.</w:t>
      </w:r>
    </w:p>
    <w:p w14:paraId="23211767" w14:textId="77777777" w:rsidR="005976D6" w:rsidRPr="008D31B6" w:rsidRDefault="005976D6" w:rsidP="008D31B6">
      <w:pPr>
        <w:pStyle w:val="Nessunaspaziatura"/>
        <w:rPr>
          <w:rFonts w:eastAsia="Times New Roman"/>
          <w:color w:val="313131"/>
          <w:sz w:val="24"/>
          <w:szCs w:val="24"/>
          <w:lang w:eastAsia="it-IT"/>
        </w:rPr>
      </w:pPr>
      <w:r w:rsidRPr="008D31B6">
        <w:rPr>
          <w:rFonts w:eastAsia="Times New Roman"/>
          <w:color w:val="313131"/>
          <w:sz w:val="24"/>
          <w:szCs w:val="24"/>
          <w:lang w:eastAsia="it-IT"/>
        </w:rPr>
        <w:t>ci sono agevolazioni per il triennio 2020/2022 in ragione di 30 crediti per coloro che hanno maturato da 121 a 150 crediti nel triennio 2017/2019 e in ragione di 15 crediti per coloro che hanno maturato da 80 a 120 crediti nel triennio 2017/2019</w:t>
      </w:r>
    </w:p>
    <w:p w14:paraId="478B85FC" w14:textId="77777777" w:rsidR="005976D6" w:rsidRPr="008D31B6" w:rsidRDefault="005976D6" w:rsidP="008D31B6">
      <w:pPr>
        <w:pStyle w:val="Nessunaspaziatura"/>
        <w:rPr>
          <w:rFonts w:eastAsia="Times New Roman"/>
          <w:color w:val="313131"/>
          <w:sz w:val="24"/>
          <w:szCs w:val="24"/>
          <w:lang w:eastAsia="it-IT"/>
        </w:rPr>
      </w:pPr>
      <w:r w:rsidRPr="008D31B6">
        <w:rPr>
          <w:rFonts w:eastAsia="Times New Roman"/>
          <w:color w:val="313131"/>
          <w:sz w:val="24"/>
          <w:szCs w:val="24"/>
          <w:lang w:eastAsia="it-IT"/>
        </w:rPr>
        <w:t>       </w:t>
      </w:r>
      <w:r w:rsidRPr="008D31B6">
        <w:rPr>
          <w:rFonts w:eastAsia="Times New Roman"/>
          <w:noProof/>
          <w:color w:val="313131"/>
          <w:sz w:val="24"/>
          <w:szCs w:val="24"/>
          <w:lang w:eastAsia="it-IT"/>
        </w:rPr>
        <w:drawing>
          <wp:inline distT="0" distB="0" distL="0" distR="0" wp14:anchorId="7C950EB0" wp14:editId="7D615DC9">
            <wp:extent cx="6772910" cy="1680210"/>
            <wp:effectExtent l="0" t="0" r="889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1B6">
        <w:rPr>
          <w:rFonts w:eastAsia="Times New Roman"/>
          <w:color w:val="313131"/>
          <w:sz w:val="24"/>
          <w:szCs w:val="24"/>
          <w:lang w:eastAsia="it-IT"/>
        </w:rPr>
        <w:br/>
      </w:r>
    </w:p>
    <w:p w14:paraId="4E9FFDE5" w14:textId="77777777" w:rsidR="005976D6" w:rsidRPr="008D31B6" w:rsidRDefault="005976D6" w:rsidP="008D31B6">
      <w:pPr>
        <w:pStyle w:val="Nessunaspaziatura"/>
        <w:rPr>
          <w:rFonts w:eastAsia="Times New Roman"/>
          <w:color w:val="313131"/>
          <w:sz w:val="24"/>
          <w:szCs w:val="24"/>
          <w:lang w:eastAsia="it-IT"/>
        </w:rPr>
      </w:pPr>
      <w:r w:rsidRPr="008D31B6">
        <w:rPr>
          <w:rFonts w:eastAsia="Times New Roman"/>
          <w:color w:val="313131"/>
          <w:sz w:val="24"/>
          <w:szCs w:val="24"/>
          <w:lang w:eastAsia="it-IT"/>
        </w:rPr>
        <w:t>almeno il 40% del fabbisogno formativo deve essere acquisito in qualità di discente (almeno 60 crediti in 3 anni)</w:t>
      </w:r>
    </w:p>
    <w:p w14:paraId="6ADC22DD" w14:textId="77777777" w:rsidR="005976D6" w:rsidRPr="008D31B6" w:rsidRDefault="005976D6" w:rsidP="008D31B6">
      <w:pPr>
        <w:pStyle w:val="Nessunaspaziatura"/>
        <w:rPr>
          <w:rFonts w:eastAsia="Times New Roman"/>
          <w:color w:val="313131"/>
          <w:sz w:val="24"/>
          <w:szCs w:val="24"/>
          <w:lang w:eastAsia="it-IT"/>
        </w:rPr>
      </w:pPr>
      <w:r w:rsidRPr="008D31B6">
        <w:rPr>
          <w:rFonts w:eastAsia="Times New Roman"/>
          <w:color w:val="313131"/>
          <w:sz w:val="24"/>
          <w:szCs w:val="24"/>
          <w:lang w:eastAsia="it-IT"/>
        </w:rPr>
        <w:t>il 60% del fabbisogno formativo può essere acquisito con docenza, tutoraggio su formazione accreditata Ecm e formazione individuale (massimo 90 crediti in 3 anni)</w:t>
      </w:r>
    </w:p>
    <w:p w14:paraId="424DAE4A" w14:textId="77777777" w:rsidR="00B02079" w:rsidRPr="008D31B6" w:rsidRDefault="005976D6" w:rsidP="008D31B6">
      <w:pPr>
        <w:pStyle w:val="Nessunaspaziatura"/>
        <w:rPr>
          <w:rFonts w:eastAsia="Times New Roman"/>
          <w:color w:val="313131"/>
          <w:sz w:val="24"/>
          <w:szCs w:val="24"/>
          <w:lang w:eastAsia="it-IT"/>
        </w:rPr>
      </w:pPr>
      <w:r w:rsidRPr="008D31B6">
        <w:rPr>
          <w:rFonts w:eastAsia="Times New Roman"/>
          <w:color w:val="313131"/>
          <w:sz w:val="24"/>
          <w:szCs w:val="24"/>
          <w:lang w:eastAsia="it-IT"/>
        </w:rPr>
        <w:lastRenderedPageBreak/>
        <w:t>     </w:t>
      </w:r>
      <w:r w:rsidRPr="008D31B6">
        <w:rPr>
          <w:rFonts w:eastAsia="Times New Roman"/>
          <w:noProof/>
          <w:color w:val="313131"/>
          <w:sz w:val="24"/>
          <w:szCs w:val="24"/>
          <w:lang w:eastAsia="it-IT"/>
        </w:rPr>
        <w:drawing>
          <wp:inline distT="0" distB="0" distL="0" distR="0" wp14:anchorId="1B57DEEF" wp14:editId="1510347E">
            <wp:extent cx="6379845" cy="4370070"/>
            <wp:effectExtent l="0" t="0" r="190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1B6">
        <w:rPr>
          <w:rFonts w:eastAsia="Times New Roman"/>
          <w:color w:val="313131"/>
          <w:sz w:val="24"/>
          <w:szCs w:val="24"/>
          <w:lang w:eastAsia="it-IT"/>
        </w:rPr>
        <w:br/>
      </w:r>
      <w:r w:rsidRPr="008D31B6">
        <w:rPr>
          <w:rFonts w:eastAsia="Times New Roman"/>
          <w:color w:val="313131"/>
          <w:sz w:val="24"/>
          <w:szCs w:val="24"/>
          <w:lang w:eastAsia="it-IT"/>
        </w:rPr>
        <w:br/>
      </w:r>
    </w:p>
    <w:p w14:paraId="3C868684" w14:textId="77777777" w:rsidR="00B02079" w:rsidRPr="008D31B6" w:rsidRDefault="00B02079" w:rsidP="008D31B6">
      <w:pPr>
        <w:pStyle w:val="Nessunaspaziatura"/>
        <w:rPr>
          <w:rFonts w:eastAsia="Times New Roman"/>
          <w:color w:val="313131"/>
          <w:sz w:val="24"/>
          <w:szCs w:val="24"/>
          <w:lang w:eastAsia="it-IT"/>
        </w:rPr>
      </w:pPr>
    </w:p>
    <w:p w14:paraId="1CF20202" w14:textId="77777777" w:rsidR="00B02079" w:rsidRPr="008D31B6" w:rsidRDefault="00B02079" w:rsidP="008D31B6">
      <w:pPr>
        <w:pStyle w:val="Nessunaspaziatura"/>
        <w:rPr>
          <w:rFonts w:eastAsia="Times New Roman"/>
          <w:color w:val="313131"/>
          <w:sz w:val="24"/>
          <w:szCs w:val="24"/>
          <w:lang w:eastAsia="it-IT"/>
        </w:rPr>
      </w:pPr>
    </w:p>
    <w:p w14:paraId="43BAC6FD" w14:textId="77777777" w:rsidR="00B02079" w:rsidRPr="008D31B6" w:rsidRDefault="00B02079" w:rsidP="008D31B6">
      <w:pPr>
        <w:pStyle w:val="Nessunaspaziatura"/>
        <w:rPr>
          <w:rFonts w:eastAsia="Times New Roman"/>
          <w:color w:val="313131"/>
          <w:sz w:val="24"/>
          <w:szCs w:val="24"/>
          <w:lang w:eastAsia="it-IT"/>
        </w:rPr>
      </w:pPr>
    </w:p>
    <w:p w14:paraId="1A326EF9" w14:textId="0B43D122" w:rsidR="005976D6" w:rsidRPr="008D31B6" w:rsidRDefault="008B18F6" w:rsidP="008D31B6">
      <w:pPr>
        <w:pStyle w:val="Nessunaspaziatura"/>
        <w:rPr>
          <w:rFonts w:eastAsia="Times New Roman"/>
          <w:color w:val="313131"/>
          <w:sz w:val="24"/>
          <w:szCs w:val="24"/>
          <w:lang w:eastAsia="it-IT"/>
        </w:rPr>
      </w:pPr>
      <w:hyperlink r:id="rId9" w:history="1">
        <w:r w:rsidR="005976D6" w:rsidRPr="008D31B6">
          <w:rPr>
            <w:rFonts w:eastAsia="Times New Roman"/>
            <w:color w:val="4595D0"/>
            <w:sz w:val="24"/>
            <w:szCs w:val="24"/>
            <w:u w:val="single"/>
            <w:lang w:eastAsia="it-IT"/>
          </w:rPr>
          <w:t>Guida formazione individuale</w:t>
        </w:r>
      </w:hyperlink>
      <w:r w:rsidR="005976D6" w:rsidRPr="008D31B6">
        <w:rPr>
          <w:rFonts w:eastAsia="Times New Roman"/>
          <w:color w:val="313131"/>
          <w:sz w:val="24"/>
          <w:szCs w:val="24"/>
          <w:lang w:eastAsia="it-IT"/>
        </w:rPr>
        <w:br/>
        <w:t> </w:t>
      </w:r>
      <w:r w:rsidR="005976D6" w:rsidRPr="008D31B6">
        <w:rPr>
          <w:rFonts w:eastAsia="Times New Roman"/>
          <w:color w:val="313131"/>
          <w:sz w:val="24"/>
          <w:szCs w:val="24"/>
          <w:lang w:eastAsia="it-IT"/>
        </w:rPr>
        <w:br/>
      </w:r>
    </w:p>
    <w:p w14:paraId="1BD81582" w14:textId="77777777" w:rsidR="005976D6" w:rsidRPr="008D31B6" w:rsidRDefault="005976D6" w:rsidP="008D31B6">
      <w:pPr>
        <w:pStyle w:val="Nessunaspaziatura"/>
        <w:rPr>
          <w:rFonts w:eastAsia="Times New Roman"/>
          <w:color w:val="313131"/>
          <w:sz w:val="24"/>
          <w:szCs w:val="24"/>
          <w:lang w:eastAsia="it-IT"/>
        </w:rPr>
      </w:pPr>
      <w:r w:rsidRPr="008D31B6">
        <w:rPr>
          <w:rFonts w:eastAsia="Times New Roman"/>
          <w:color w:val="313131"/>
          <w:sz w:val="24"/>
          <w:szCs w:val="24"/>
          <w:lang w:eastAsia="it-IT"/>
        </w:rPr>
        <w:t>i crediti acquisiti tramite l'autoformazione non possono superare il 20% del fabbisogno formativo (massimo 30 crediti in 3 anni). Per </w:t>
      </w:r>
      <w:r w:rsidRPr="008D31B6">
        <w:rPr>
          <w:rFonts w:eastAsia="Times New Roman"/>
          <w:b/>
          <w:bCs/>
          <w:color w:val="313131"/>
          <w:sz w:val="24"/>
          <w:szCs w:val="24"/>
          <w:lang w:eastAsia="it-IT"/>
        </w:rPr>
        <w:t>autoformazione</w:t>
      </w:r>
      <w:r w:rsidRPr="008D31B6">
        <w:rPr>
          <w:rFonts w:eastAsia="Times New Roman"/>
          <w:color w:val="313131"/>
          <w:sz w:val="24"/>
          <w:szCs w:val="24"/>
          <w:lang w:eastAsia="it-IT"/>
        </w:rPr>
        <w:t> si intende: studio di materiali durevoli/letture scientifiche</w:t>
      </w:r>
    </w:p>
    <w:p w14:paraId="4BBDE7E7" w14:textId="77777777" w:rsidR="005976D6" w:rsidRPr="008D31B6" w:rsidRDefault="005976D6" w:rsidP="008D31B6">
      <w:pPr>
        <w:pStyle w:val="Nessunaspaziatura"/>
        <w:rPr>
          <w:rFonts w:eastAsia="Times New Roman"/>
          <w:color w:val="313131"/>
          <w:sz w:val="24"/>
          <w:szCs w:val="24"/>
          <w:lang w:eastAsia="it-IT"/>
        </w:rPr>
      </w:pPr>
      <w:r w:rsidRPr="008D31B6">
        <w:rPr>
          <w:rFonts w:eastAsia="Times New Roman"/>
          <w:color w:val="313131"/>
          <w:sz w:val="24"/>
          <w:szCs w:val="24"/>
          <w:lang w:eastAsia="it-IT"/>
        </w:rPr>
        <w:t xml:space="preserve">*è consentita l’acquisizione dei crediti formativi relativi al triennio 2017/2019 fino al 31/12/2020 al netto di esoneri, esenzioni ed eventuali altre riduzioni. I crediti maturati entro il 31 dicembre 2020, acquisiti quale recupero del debito formativo e trasferiti per competenza al triennio 2017-19, non saranno considerati ai fini del soddisfacimento dell'obbligo del triennio 2020-2022. Il recupero dei crediti per il triennio 2017-2019 è una facoltà del professionista sanitario che, tramite l'accesso al portale </w:t>
      </w:r>
      <w:proofErr w:type="spellStart"/>
      <w:r w:rsidRPr="008D31B6">
        <w:rPr>
          <w:rFonts w:eastAsia="Times New Roman"/>
          <w:color w:val="313131"/>
          <w:sz w:val="24"/>
          <w:szCs w:val="24"/>
          <w:lang w:eastAsia="it-IT"/>
        </w:rPr>
        <w:t>Co.Ge.A.P.S</w:t>
      </w:r>
      <w:proofErr w:type="spellEnd"/>
      <w:r w:rsidRPr="008D31B6">
        <w:rPr>
          <w:rFonts w:eastAsia="Times New Roman"/>
          <w:color w:val="313131"/>
          <w:sz w:val="24"/>
          <w:szCs w:val="24"/>
          <w:lang w:eastAsia="it-IT"/>
        </w:rPr>
        <w:t xml:space="preserve">., dovrà procedere allo spostamento della competenza dei crediti acquisiti. Tale facoltà può essere esercitata autonomamente dal professionista, attraverso la specifica procedura informatica da eseguire sul portale del </w:t>
      </w:r>
      <w:proofErr w:type="spellStart"/>
      <w:r w:rsidRPr="008D31B6">
        <w:rPr>
          <w:rFonts w:eastAsia="Times New Roman"/>
          <w:color w:val="313131"/>
          <w:sz w:val="24"/>
          <w:szCs w:val="24"/>
          <w:lang w:eastAsia="it-IT"/>
        </w:rPr>
        <w:t>Co.Ge.A.P.S</w:t>
      </w:r>
      <w:proofErr w:type="spellEnd"/>
      <w:r w:rsidRPr="008D31B6">
        <w:rPr>
          <w:rFonts w:eastAsia="Times New Roman"/>
          <w:color w:val="313131"/>
          <w:sz w:val="24"/>
          <w:szCs w:val="24"/>
          <w:lang w:eastAsia="it-IT"/>
        </w:rPr>
        <w:t xml:space="preserve">. I crediti indicati quali recupero dell'obbligo formativo per il triennio 2017-2019 potranno essere spostati di competenza per l'intero valore della partecipazione e, agli stessi, verranno applicate le norme del triennio 2017-2019; tale spostamento sarà irreversibile. Potranno essere destinate al recupero le </w:t>
      </w:r>
      <w:r w:rsidRPr="008D31B6">
        <w:rPr>
          <w:rFonts w:eastAsia="Times New Roman"/>
          <w:color w:val="313131"/>
          <w:sz w:val="24"/>
          <w:szCs w:val="24"/>
          <w:lang w:eastAsia="it-IT"/>
        </w:rPr>
        <w:lastRenderedPageBreak/>
        <w:t xml:space="preserve">partecipazioni registrate nella banca dati del </w:t>
      </w:r>
      <w:proofErr w:type="spellStart"/>
      <w:r w:rsidRPr="008D31B6">
        <w:rPr>
          <w:rFonts w:eastAsia="Times New Roman"/>
          <w:color w:val="313131"/>
          <w:sz w:val="24"/>
          <w:szCs w:val="24"/>
          <w:lang w:eastAsia="it-IT"/>
        </w:rPr>
        <w:t>Co.Ge.A.P.S</w:t>
      </w:r>
      <w:proofErr w:type="spellEnd"/>
      <w:r w:rsidRPr="008D31B6">
        <w:rPr>
          <w:rFonts w:eastAsia="Times New Roman"/>
          <w:color w:val="313131"/>
          <w:sz w:val="24"/>
          <w:szCs w:val="24"/>
          <w:lang w:eastAsia="it-IT"/>
        </w:rPr>
        <w:t>. e una volta spostate non verranno più conteggiate nel triennio in cui sono state originariamente acquisite.</w:t>
      </w:r>
    </w:p>
    <w:p w14:paraId="4F76744A" w14:textId="77777777" w:rsidR="005976D6" w:rsidRPr="008D31B6" w:rsidRDefault="005976D6" w:rsidP="008D31B6">
      <w:pPr>
        <w:pStyle w:val="Nessunaspaziatura"/>
        <w:rPr>
          <w:rFonts w:eastAsia="Times New Roman"/>
          <w:color w:val="313131"/>
          <w:sz w:val="24"/>
          <w:szCs w:val="24"/>
          <w:lang w:eastAsia="it-IT"/>
        </w:rPr>
      </w:pPr>
      <w:r w:rsidRPr="008D31B6">
        <w:rPr>
          <w:rFonts w:eastAsia="Times New Roman"/>
          <w:color w:val="313131"/>
          <w:sz w:val="24"/>
          <w:szCs w:val="24"/>
          <w:lang w:eastAsia="it-IT"/>
        </w:rPr>
        <w:t>E' possibile avere una riduzione del debito formativo con il dossier formativo, come specificato di seguito;</w:t>
      </w:r>
    </w:p>
    <w:p w14:paraId="0E581FE4" w14:textId="77777777" w:rsidR="005976D6" w:rsidRPr="008D31B6" w:rsidRDefault="005976D6" w:rsidP="008D31B6">
      <w:pPr>
        <w:pStyle w:val="Nessunaspaziatura"/>
        <w:rPr>
          <w:sz w:val="24"/>
          <w:szCs w:val="24"/>
          <w:lang w:eastAsia="it-IT"/>
        </w:rPr>
      </w:pPr>
      <w:r w:rsidRPr="008D31B6">
        <w:rPr>
          <w:sz w:val="24"/>
          <w:szCs w:val="24"/>
          <w:lang w:eastAsia="it-IT"/>
        </w:rPr>
        <w:t>- 30 crediti assegnati per il triennio 2020-2022 se il dossier formativo è stato costruito nel medesimo triennio;</w:t>
      </w:r>
      <w:r w:rsidRPr="008D31B6">
        <w:rPr>
          <w:sz w:val="24"/>
          <w:szCs w:val="24"/>
          <w:lang w:eastAsia="it-IT"/>
        </w:rPr>
        <w:br/>
        <w:t>- 20 crediti per il triennio 2023-2025 se esiste la coerenza almeno del 70% fra la formazione programmata e quella realizzata ed il dossier è stato realizzato nel triennio 2020 – 2022;</w:t>
      </w:r>
      <w:r w:rsidRPr="008D31B6">
        <w:rPr>
          <w:sz w:val="24"/>
          <w:szCs w:val="24"/>
          <w:lang w:eastAsia="it-IT"/>
        </w:rPr>
        <w:br/>
        <w:t>- per coloro che hanno fatto e soddisfatto il dossier formativo nel triennio 2017-2019 verrà dato un bonus di 20 crediti nel triennio 2020-2022.</w:t>
      </w:r>
      <w:r w:rsidRPr="008D31B6">
        <w:rPr>
          <w:sz w:val="24"/>
          <w:szCs w:val="24"/>
          <w:lang w:eastAsia="it-IT"/>
        </w:rPr>
        <w:br/>
      </w:r>
    </w:p>
    <w:p w14:paraId="65CC1B9B" w14:textId="77777777" w:rsidR="005976D6" w:rsidRPr="008D31B6" w:rsidRDefault="005976D6" w:rsidP="008D31B6">
      <w:pPr>
        <w:pStyle w:val="Nessunaspaziatura"/>
        <w:rPr>
          <w:rFonts w:eastAsia="Times New Roman"/>
          <w:color w:val="313131"/>
          <w:sz w:val="24"/>
          <w:szCs w:val="24"/>
          <w:lang w:eastAsia="it-IT"/>
        </w:rPr>
      </w:pPr>
      <w:r w:rsidRPr="008D31B6">
        <w:rPr>
          <w:rFonts w:eastAsia="Times New Roman"/>
          <w:color w:val="313131"/>
          <w:sz w:val="24"/>
          <w:szCs w:val="24"/>
          <w:lang w:eastAsia="it-IT"/>
        </w:rPr>
        <w:t xml:space="preserve">è possibile trasferire, tramite accesso alla propria area riservata </w:t>
      </w:r>
      <w:proofErr w:type="spellStart"/>
      <w:r w:rsidRPr="008D31B6">
        <w:rPr>
          <w:rFonts w:eastAsia="Times New Roman"/>
          <w:color w:val="313131"/>
          <w:sz w:val="24"/>
          <w:szCs w:val="24"/>
          <w:lang w:eastAsia="it-IT"/>
        </w:rPr>
        <w:t>Co.Ge.A.P.S</w:t>
      </w:r>
      <w:proofErr w:type="spellEnd"/>
      <w:r w:rsidRPr="008D31B6">
        <w:rPr>
          <w:rFonts w:eastAsia="Times New Roman"/>
          <w:color w:val="313131"/>
          <w:sz w:val="24"/>
          <w:szCs w:val="24"/>
          <w:lang w:eastAsia="it-IT"/>
        </w:rPr>
        <w:t>., i crediti acquisiti nel triennio 2017-2019 al triennio 2014-2016. L’obiettivo è permettere di assolvere all’obbligo formativo del triennio precedente qualora non sia stato assolto. Si ricorda che lo spostamento comporta la perdita dei crediti trasferiti in riferimento al triennio 2017-2019 e non esonera dall’obbligo di conseguire tutti i crediti previsti per tale triennio</w:t>
      </w:r>
    </w:p>
    <w:p w14:paraId="624C08D6" w14:textId="231D49DB" w:rsidR="005976D6" w:rsidRPr="008D31B6" w:rsidRDefault="005976D6" w:rsidP="008D31B6">
      <w:pPr>
        <w:pStyle w:val="Nessunaspaziatura"/>
        <w:rPr>
          <w:sz w:val="24"/>
          <w:szCs w:val="24"/>
          <w:lang w:eastAsia="it-IT"/>
        </w:rPr>
      </w:pPr>
      <w:r w:rsidRPr="008D31B6">
        <w:rPr>
          <w:sz w:val="24"/>
          <w:szCs w:val="24"/>
          <w:lang w:eastAsia="it-IT"/>
        </w:rPr>
        <w:t> </w:t>
      </w:r>
      <w:r w:rsidRPr="008D31B6">
        <w:rPr>
          <w:sz w:val="24"/>
          <w:szCs w:val="24"/>
          <w:lang w:eastAsia="it-IT"/>
        </w:rPr>
        <w:br/>
      </w:r>
      <w:r w:rsidR="00B02079" w:rsidRPr="008D31B6">
        <w:rPr>
          <w:sz w:val="24"/>
          <w:szCs w:val="24"/>
          <w:lang w:eastAsia="it-IT"/>
        </w:rPr>
        <w:t>U</w:t>
      </w:r>
      <w:r w:rsidRPr="008D31B6">
        <w:rPr>
          <w:sz w:val="24"/>
          <w:szCs w:val="24"/>
          <w:lang w:eastAsia="it-IT"/>
        </w:rPr>
        <w:t>lteriori approfondimenti :</w:t>
      </w:r>
      <w:r w:rsidRPr="008D31B6">
        <w:rPr>
          <w:sz w:val="24"/>
          <w:szCs w:val="24"/>
          <w:lang w:eastAsia="it-IT"/>
        </w:rPr>
        <w:br/>
      </w:r>
    </w:p>
    <w:p w14:paraId="19FBD96E" w14:textId="77777777" w:rsidR="005976D6" w:rsidRPr="008D31B6" w:rsidRDefault="005976D6" w:rsidP="008D31B6">
      <w:pPr>
        <w:pStyle w:val="Nessunaspaziatura"/>
        <w:rPr>
          <w:rFonts w:eastAsia="Times New Roman"/>
          <w:color w:val="313131"/>
          <w:sz w:val="24"/>
          <w:szCs w:val="24"/>
          <w:lang w:eastAsia="it-IT"/>
        </w:rPr>
      </w:pPr>
      <w:r w:rsidRPr="008D31B6">
        <w:rPr>
          <w:rFonts w:eastAsia="Times New Roman"/>
          <w:color w:val="313131"/>
          <w:sz w:val="24"/>
          <w:szCs w:val="24"/>
          <w:lang w:eastAsia="it-IT"/>
        </w:rPr>
        <w:t>partecipazione ad eventi formativi Ecm. La valorizzazione dei crediti è prevista nella tabella "criteri per l'assegnazione dei crediti alle attività Ecm </w:t>
      </w:r>
      <w:hyperlink r:id="rId10" w:history="1">
        <w:r w:rsidRPr="008D31B6">
          <w:rPr>
            <w:rFonts w:eastAsia="Times New Roman"/>
            <w:color w:val="4595D0"/>
            <w:sz w:val="24"/>
            <w:szCs w:val="24"/>
            <w:u w:val="single"/>
            <w:lang w:eastAsia="it-IT"/>
          </w:rPr>
          <w:t>dell'Accordo Stato Regioni n.14/2017</w:t>
        </w:r>
      </w:hyperlink>
    </w:p>
    <w:p w14:paraId="6DD102B6" w14:textId="77777777" w:rsidR="005976D6" w:rsidRPr="008D31B6" w:rsidRDefault="005976D6" w:rsidP="008D31B6">
      <w:pPr>
        <w:pStyle w:val="Nessunaspaziatura"/>
        <w:rPr>
          <w:rFonts w:eastAsia="Times New Roman"/>
          <w:color w:val="313131"/>
          <w:sz w:val="24"/>
          <w:szCs w:val="24"/>
          <w:lang w:eastAsia="it-IT"/>
        </w:rPr>
      </w:pPr>
      <w:r w:rsidRPr="008D31B6">
        <w:rPr>
          <w:rFonts w:eastAsia="Times New Roman"/>
          <w:color w:val="313131"/>
          <w:sz w:val="24"/>
          <w:szCs w:val="24"/>
          <w:lang w:eastAsia="it-IT"/>
        </w:rPr>
        <w:t>docenza e tutoraggio nella formazione accreditata. La valorizzazione dei crediti è prevista nella tabella "criteri per l'assegnazione dei crediti alle attività Ecm </w:t>
      </w:r>
      <w:hyperlink r:id="rId11" w:history="1">
        <w:r w:rsidRPr="008D31B6">
          <w:rPr>
            <w:rFonts w:eastAsia="Times New Roman"/>
            <w:color w:val="4595D0"/>
            <w:sz w:val="24"/>
            <w:szCs w:val="24"/>
            <w:u w:val="single"/>
            <w:lang w:eastAsia="it-IT"/>
          </w:rPr>
          <w:t>dell'Accordo Stato Regioni n.14/2017</w:t>
        </w:r>
      </w:hyperlink>
    </w:p>
    <w:p w14:paraId="0661F156" w14:textId="77777777" w:rsidR="005976D6" w:rsidRPr="008D31B6" w:rsidRDefault="005976D6" w:rsidP="008D31B6">
      <w:pPr>
        <w:pStyle w:val="Nessunaspaziatura"/>
        <w:rPr>
          <w:rFonts w:eastAsia="Times New Roman"/>
          <w:color w:val="313131"/>
          <w:sz w:val="24"/>
          <w:szCs w:val="24"/>
          <w:lang w:eastAsia="it-IT"/>
        </w:rPr>
      </w:pPr>
      <w:r w:rsidRPr="008D31B6">
        <w:rPr>
          <w:rFonts w:eastAsia="Times New Roman"/>
          <w:color w:val="313131"/>
          <w:sz w:val="24"/>
          <w:szCs w:val="24"/>
          <w:lang w:eastAsia="it-IT"/>
        </w:rPr>
        <w:t>formazione individuale che comprende: attività di ricerca scientifica (pubblicazioni scientifiche e sperimentazioni cliniche), tutoraggio individuale, attività di formazione individuale all'estero e attività di autoformazione. La valorizzazione dei crediti - punto 3 </w:t>
      </w:r>
      <w:hyperlink r:id="rId12" w:history="1">
        <w:r w:rsidRPr="008D31B6">
          <w:rPr>
            <w:rFonts w:eastAsia="Times New Roman"/>
            <w:b/>
            <w:bCs/>
            <w:color w:val="4595D0"/>
            <w:sz w:val="24"/>
            <w:szCs w:val="24"/>
            <w:u w:val="single"/>
            <w:lang w:eastAsia="it-IT"/>
          </w:rPr>
          <w:t>Manu</w:t>
        </w:r>
        <w:r w:rsidRPr="008D31B6">
          <w:rPr>
            <w:rFonts w:eastAsia="Times New Roman"/>
            <w:b/>
            <w:bCs/>
            <w:color w:val="4595D0"/>
            <w:sz w:val="24"/>
            <w:szCs w:val="24"/>
            <w:u w:val="single"/>
            <w:lang w:eastAsia="it-IT"/>
          </w:rPr>
          <w:t>a</w:t>
        </w:r>
        <w:r w:rsidRPr="008D31B6">
          <w:rPr>
            <w:rFonts w:eastAsia="Times New Roman"/>
            <w:b/>
            <w:bCs/>
            <w:color w:val="4595D0"/>
            <w:sz w:val="24"/>
            <w:szCs w:val="24"/>
            <w:u w:val="single"/>
            <w:lang w:eastAsia="it-IT"/>
          </w:rPr>
          <w:t>le sulla formazione continua del professionista sanitario</w:t>
        </w:r>
      </w:hyperlink>
    </w:p>
    <w:p w14:paraId="00D5FDC4" w14:textId="77777777" w:rsidR="008B18F6" w:rsidRDefault="005976D6" w:rsidP="008D31B6">
      <w:pPr>
        <w:pStyle w:val="Nessunaspaziatura"/>
        <w:rPr>
          <w:sz w:val="24"/>
          <w:szCs w:val="24"/>
          <w:lang w:eastAsia="it-IT"/>
        </w:rPr>
      </w:pPr>
      <w:r w:rsidRPr="008D31B6">
        <w:rPr>
          <w:sz w:val="24"/>
          <w:szCs w:val="24"/>
          <w:lang w:eastAsia="it-IT"/>
        </w:rPr>
        <w:t> Per quanto concerne la registrazione della formazione individuale ed esoneri ed esenzioni è cura del professionista collegarsi al </w:t>
      </w:r>
      <w:r w:rsidRPr="008D31B6">
        <w:rPr>
          <w:b/>
          <w:bCs/>
          <w:sz w:val="24"/>
          <w:szCs w:val="24"/>
          <w:lang w:eastAsia="it-IT"/>
        </w:rPr>
        <w:t xml:space="preserve">sito </w:t>
      </w:r>
      <w:proofErr w:type="spellStart"/>
      <w:r w:rsidRPr="008D31B6">
        <w:rPr>
          <w:b/>
          <w:bCs/>
          <w:sz w:val="24"/>
          <w:szCs w:val="24"/>
          <w:lang w:eastAsia="it-IT"/>
        </w:rPr>
        <w:t>Co.Ge.A.P.S</w:t>
      </w:r>
      <w:proofErr w:type="spellEnd"/>
      <w:r w:rsidRPr="008D31B6">
        <w:rPr>
          <w:b/>
          <w:bCs/>
          <w:sz w:val="24"/>
          <w:szCs w:val="24"/>
          <w:lang w:eastAsia="it-IT"/>
        </w:rPr>
        <w:t>.</w:t>
      </w:r>
      <w:r w:rsidRPr="008D31B6">
        <w:rPr>
          <w:sz w:val="24"/>
          <w:szCs w:val="24"/>
          <w:lang w:eastAsia="it-IT"/>
        </w:rPr>
        <w:t> e inserirla autonomamente.</w:t>
      </w:r>
      <w:r w:rsidRPr="008D31B6">
        <w:rPr>
          <w:sz w:val="24"/>
          <w:szCs w:val="24"/>
          <w:lang w:eastAsia="it-IT"/>
        </w:rPr>
        <w:br/>
      </w:r>
      <w:hyperlink r:id="rId13" w:history="1">
        <w:r w:rsidRPr="008D31B6">
          <w:rPr>
            <w:color w:val="4595D0"/>
            <w:sz w:val="24"/>
            <w:szCs w:val="24"/>
            <w:u w:val="single"/>
            <w:lang w:eastAsia="it-IT"/>
          </w:rPr>
          <w:t>http://application.cogeaps.it/cogeaps/login.ot</w:t>
        </w:r>
      </w:hyperlink>
      <w:r w:rsidRPr="008D31B6">
        <w:rPr>
          <w:sz w:val="24"/>
          <w:szCs w:val="24"/>
          <w:lang w:eastAsia="it-IT"/>
        </w:rPr>
        <w:br/>
        <w:t> </w:t>
      </w:r>
    </w:p>
    <w:p w14:paraId="200DBBD1" w14:textId="7F7C26D0" w:rsidR="008B18F6" w:rsidRPr="008B18F6" w:rsidRDefault="008B18F6" w:rsidP="008B18F6">
      <w:pPr>
        <w:pStyle w:val="Nessunaspaziatura"/>
        <w:rPr>
          <w:rFonts w:eastAsia="Times New Roman"/>
          <w:color w:val="313131"/>
          <w:sz w:val="24"/>
          <w:szCs w:val="24"/>
          <w:lang w:eastAsia="it-IT"/>
        </w:rPr>
      </w:pPr>
      <w:r>
        <w:rPr>
          <w:rFonts w:eastAsia="Times New Roman"/>
          <w:color w:val="313131"/>
          <w:sz w:val="24"/>
          <w:szCs w:val="24"/>
          <w:lang w:eastAsia="it-IT"/>
        </w:rPr>
        <w:t xml:space="preserve">Per quanto riguarda gli studenti che hanno terminato il corso di laurea: sono </w:t>
      </w:r>
      <w:r w:rsidRPr="008B18F6">
        <w:rPr>
          <w:rFonts w:eastAsia="Times New Roman"/>
          <w:color w:val="313131"/>
          <w:sz w:val="24"/>
          <w:szCs w:val="24"/>
          <w:lang w:eastAsia="it-IT"/>
        </w:rPr>
        <w:t>destinatari dell’obbligo ECM tutti i soggetti appartenenti ad una delle professioni</w:t>
      </w:r>
      <w:r>
        <w:rPr>
          <w:rFonts w:eastAsia="Times New Roman"/>
          <w:color w:val="313131"/>
          <w:sz w:val="24"/>
          <w:szCs w:val="24"/>
          <w:lang w:eastAsia="it-IT"/>
        </w:rPr>
        <w:t xml:space="preserve"> </w:t>
      </w:r>
      <w:r w:rsidRPr="008B18F6">
        <w:rPr>
          <w:rFonts w:eastAsia="Times New Roman"/>
          <w:color w:val="313131"/>
          <w:sz w:val="24"/>
          <w:szCs w:val="24"/>
          <w:lang w:eastAsia="it-IT"/>
        </w:rPr>
        <w:t>sanitarie</w:t>
      </w:r>
      <w:r>
        <w:rPr>
          <w:rFonts w:eastAsia="Times New Roman"/>
          <w:color w:val="313131"/>
          <w:sz w:val="24"/>
          <w:szCs w:val="24"/>
          <w:lang w:eastAsia="it-IT"/>
        </w:rPr>
        <w:t xml:space="preserve"> </w:t>
      </w:r>
      <w:r w:rsidRPr="008B18F6">
        <w:rPr>
          <w:rFonts w:eastAsia="Times New Roman"/>
          <w:color w:val="313131"/>
          <w:sz w:val="24"/>
          <w:szCs w:val="24"/>
          <w:lang w:eastAsia="it-IT"/>
        </w:rPr>
        <w:t>riconosciute</w:t>
      </w:r>
      <w:r>
        <w:rPr>
          <w:rFonts w:eastAsia="Times New Roman"/>
          <w:color w:val="313131"/>
          <w:sz w:val="24"/>
          <w:szCs w:val="24"/>
          <w:lang w:eastAsia="it-IT"/>
        </w:rPr>
        <w:t xml:space="preserve"> </w:t>
      </w:r>
      <w:r w:rsidRPr="008B18F6">
        <w:rPr>
          <w:rFonts w:eastAsia="Times New Roman"/>
          <w:color w:val="313131"/>
          <w:sz w:val="24"/>
          <w:szCs w:val="24"/>
          <w:lang w:eastAsia="it-IT"/>
        </w:rPr>
        <w:t>dalla normativa vigente.</w:t>
      </w:r>
    </w:p>
    <w:p w14:paraId="55B4A4D5" w14:textId="3AAADDC4" w:rsidR="008B18F6" w:rsidRPr="008B18F6" w:rsidRDefault="008B18F6" w:rsidP="008B18F6">
      <w:pPr>
        <w:pStyle w:val="Nessunaspaziatura"/>
        <w:rPr>
          <w:rFonts w:eastAsia="Times New Roman"/>
          <w:color w:val="313131"/>
          <w:sz w:val="24"/>
          <w:szCs w:val="24"/>
          <w:lang w:eastAsia="it-IT"/>
        </w:rPr>
      </w:pPr>
      <w:r w:rsidRPr="008B18F6">
        <w:rPr>
          <w:rFonts w:eastAsia="Times New Roman"/>
          <w:color w:val="313131"/>
          <w:sz w:val="24"/>
          <w:szCs w:val="24"/>
          <w:lang w:eastAsia="it-IT"/>
        </w:rPr>
        <w:t xml:space="preserve">L’obbligo di formazione continua decorre dal 1° gennaio successivo alla </w:t>
      </w:r>
      <w:r>
        <w:rPr>
          <w:rFonts w:eastAsia="Times New Roman"/>
          <w:color w:val="313131"/>
          <w:sz w:val="24"/>
          <w:szCs w:val="24"/>
          <w:lang w:eastAsia="it-IT"/>
        </w:rPr>
        <w:t>data di iscrizione all’Ordine.</w:t>
      </w:r>
    </w:p>
    <w:p w14:paraId="0E245088" w14:textId="77777777" w:rsidR="008B18F6" w:rsidRPr="008B18F6" w:rsidRDefault="008B18F6" w:rsidP="008B18F6">
      <w:pPr>
        <w:pStyle w:val="Nessunaspaziatura"/>
        <w:rPr>
          <w:rFonts w:eastAsia="Times New Roman"/>
          <w:color w:val="313131"/>
          <w:sz w:val="24"/>
          <w:szCs w:val="24"/>
          <w:lang w:eastAsia="it-IT"/>
        </w:rPr>
      </w:pPr>
      <w:r w:rsidRPr="008B18F6">
        <w:rPr>
          <w:rFonts w:eastAsia="Times New Roman"/>
          <w:color w:val="313131"/>
          <w:sz w:val="24"/>
          <w:szCs w:val="24"/>
          <w:lang w:eastAsia="it-IT"/>
        </w:rPr>
        <w:t>Per le professioni il cui esercizio non era precedentemente subordinato all’iscrizione ad Ordini, l’obbligo di formazione decorre dal 1° gennaio successivo al conseguimento del titolo di studio o altro provvedimento abilitante.</w:t>
      </w:r>
    </w:p>
    <w:p w14:paraId="38556A38" w14:textId="1935DC74" w:rsidR="008B18F6" w:rsidRDefault="008B18F6" w:rsidP="008B18F6">
      <w:pPr>
        <w:pStyle w:val="Nessunaspaziatura"/>
        <w:rPr>
          <w:sz w:val="24"/>
          <w:szCs w:val="24"/>
          <w:lang w:eastAsia="it-IT"/>
        </w:rPr>
      </w:pPr>
      <w:r w:rsidRPr="008B18F6">
        <w:rPr>
          <w:rFonts w:eastAsia="Times New Roman"/>
          <w:color w:val="313131"/>
          <w:sz w:val="24"/>
          <w:szCs w:val="24"/>
          <w:lang w:eastAsia="it-IT"/>
        </w:rPr>
        <w:t>Da tale data, il professionista sanitario deve maturare i crediti previsti per i residui anni del triennio formativo. A tal fine, il debito formativo viene calcolato suddividendo per tre il numero di crediti previsti per l’assolvimento dell’obbligo formativo triennale, al netto</w:t>
      </w:r>
      <w:r>
        <w:rPr>
          <w:rFonts w:eastAsia="Times New Roman"/>
          <w:color w:val="313131"/>
          <w:sz w:val="24"/>
          <w:szCs w:val="24"/>
          <w:lang w:eastAsia="it-IT"/>
        </w:rPr>
        <w:t xml:space="preserve"> </w:t>
      </w:r>
      <w:r w:rsidRPr="008B18F6">
        <w:rPr>
          <w:rFonts w:eastAsia="Times New Roman"/>
          <w:color w:val="313131"/>
          <w:sz w:val="24"/>
          <w:szCs w:val="24"/>
          <w:lang w:eastAsia="it-IT"/>
        </w:rPr>
        <w:t xml:space="preserve">di esoneri ed esenzioni, e moltiplicando il risultato per il numero degli anni residui </w:t>
      </w:r>
      <w:r>
        <w:rPr>
          <w:rFonts w:eastAsia="Times New Roman"/>
          <w:color w:val="313131"/>
          <w:sz w:val="24"/>
          <w:szCs w:val="24"/>
          <w:lang w:eastAsia="it-IT"/>
        </w:rPr>
        <w:t>del triennio formativo in corso vedi manuale sulla formazione continua del professionista sanitario di cui sopra).</w:t>
      </w:r>
      <w:bookmarkStart w:id="0" w:name="_GoBack"/>
      <w:bookmarkEnd w:id="0"/>
      <w:r w:rsidR="005976D6" w:rsidRPr="008B18F6">
        <w:rPr>
          <w:rFonts w:eastAsia="Times New Roman"/>
          <w:color w:val="313131"/>
          <w:sz w:val="24"/>
          <w:szCs w:val="24"/>
          <w:lang w:eastAsia="it-IT"/>
        </w:rPr>
        <w:br/>
      </w:r>
    </w:p>
    <w:p w14:paraId="76743566" w14:textId="3FD8B5EB" w:rsidR="005976D6" w:rsidRPr="008D31B6" w:rsidRDefault="005976D6" w:rsidP="008B18F6">
      <w:pPr>
        <w:pStyle w:val="Nessunaspaziatura"/>
        <w:rPr>
          <w:sz w:val="24"/>
          <w:szCs w:val="24"/>
          <w:lang w:eastAsia="it-IT"/>
        </w:rPr>
      </w:pPr>
      <w:r w:rsidRPr="008D31B6">
        <w:rPr>
          <w:sz w:val="24"/>
          <w:szCs w:val="24"/>
          <w:lang w:eastAsia="it-IT"/>
        </w:rPr>
        <w:t>Per maggiori informazioni</w:t>
      </w:r>
      <w:r w:rsidRPr="008D31B6">
        <w:rPr>
          <w:sz w:val="24"/>
          <w:szCs w:val="24"/>
          <w:lang w:eastAsia="it-IT"/>
        </w:rPr>
        <w:br/>
      </w:r>
      <w:proofErr w:type="spellStart"/>
      <w:r w:rsidRPr="008D31B6">
        <w:rPr>
          <w:b/>
          <w:bCs/>
          <w:sz w:val="24"/>
          <w:szCs w:val="24"/>
          <w:lang w:eastAsia="it-IT"/>
        </w:rPr>
        <w:t>Agenas</w:t>
      </w:r>
      <w:proofErr w:type="spellEnd"/>
      <w:r w:rsidRPr="008D31B6">
        <w:rPr>
          <w:b/>
          <w:bCs/>
          <w:sz w:val="24"/>
          <w:szCs w:val="24"/>
          <w:lang w:eastAsia="it-IT"/>
        </w:rPr>
        <w:t xml:space="preserve"> - Sito ECM - Normativa</w:t>
      </w:r>
      <w:r w:rsidRPr="008D31B6">
        <w:rPr>
          <w:sz w:val="24"/>
          <w:szCs w:val="24"/>
          <w:lang w:eastAsia="it-IT"/>
        </w:rPr>
        <w:t> â</w:t>
      </w:r>
      <w:r w:rsidRPr="008D31B6">
        <w:rPr>
          <w:rFonts w:ascii="Calibri" w:hAnsi="Calibri" w:cs="Calibri"/>
          <w:sz w:val="24"/>
          <w:szCs w:val="24"/>
          <w:lang w:eastAsia="it-IT"/>
        </w:rPr>
        <w:t></w:t>
      </w:r>
      <w:r w:rsidRPr="008D31B6">
        <w:rPr>
          <w:sz w:val="24"/>
          <w:szCs w:val="24"/>
          <w:lang w:eastAsia="it-IT"/>
        </w:rPr>
        <w:t>ºâ</w:t>
      </w:r>
      <w:r w:rsidRPr="008D31B6">
        <w:rPr>
          <w:rFonts w:ascii="Calibri" w:hAnsi="Calibri" w:cs="Calibri"/>
          <w:sz w:val="24"/>
          <w:szCs w:val="24"/>
          <w:lang w:eastAsia="it-IT"/>
        </w:rPr>
        <w:t>º  </w:t>
      </w:r>
      <w:hyperlink r:id="rId14" w:history="1">
        <w:r w:rsidRPr="008D31B6">
          <w:rPr>
            <w:color w:val="4595D0"/>
            <w:sz w:val="24"/>
            <w:szCs w:val="24"/>
            <w:u w:val="single"/>
            <w:lang w:eastAsia="it-IT"/>
          </w:rPr>
          <w:t>https://ape.agenas.it/ecm/normativa.aspx</w:t>
        </w:r>
      </w:hyperlink>
    </w:p>
    <w:p w14:paraId="46D5BA8F" w14:textId="63317CFE" w:rsidR="003517A3" w:rsidRPr="008D31B6" w:rsidRDefault="003517A3" w:rsidP="008D31B6">
      <w:pPr>
        <w:pStyle w:val="Nessunaspaziatura"/>
        <w:rPr>
          <w:sz w:val="24"/>
          <w:szCs w:val="24"/>
        </w:rPr>
      </w:pPr>
    </w:p>
    <w:p w14:paraId="6EDA1BEE" w14:textId="77777777" w:rsidR="005976D6" w:rsidRPr="008D31B6" w:rsidRDefault="005976D6" w:rsidP="008D31B6">
      <w:pPr>
        <w:pStyle w:val="Nessunaspaziatura"/>
        <w:rPr>
          <w:sz w:val="24"/>
          <w:szCs w:val="24"/>
        </w:rPr>
      </w:pPr>
    </w:p>
    <w:sectPr w:rsidR="005976D6" w:rsidRPr="008D3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3D3"/>
    <w:multiLevelType w:val="multilevel"/>
    <w:tmpl w:val="7BD2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878F9"/>
    <w:multiLevelType w:val="multilevel"/>
    <w:tmpl w:val="521A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3B1F"/>
    <w:multiLevelType w:val="multilevel"/>
    <w:tmpl w:val="8FFA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F6DA0"/>
    <w:multiLevelType w:val="multilevel"/>
    <w:tmpl w:val="C996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2864EF"/>
    <w:multiLevelType w:val="multilevel"/>
    <w:tmpl w:val="DAD0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54AE4"/>
    <w:multiLevelType w:val="multilevel"/>
    <w:tmpl w:val="9186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A3"/>
    <w:rsid w:val="003517A3"/>
    <w:rsid w:val="005976D6"/>
    <w:rsid w:val="008B18F6"/>
    <w:rsid w:val="008D31B6"/>
    <w:rsid w:val="00B0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1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5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517A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976D6"/>
    <w:rPr>
      <w:color w:val="0000FF"/>
      <w:u w:val="single"/>
    </w:rPr>
  </w:style>
  <w:style w:type="paragraph" w:styleId="Nessunaspaziatura">
    <w:name w:val="No Spacing"/>
    <w:uiPriority w:val="1"/>
    <w:qFormat/>
    <w:rsid w:val="00B0207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8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5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517A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976D6"/>
    <w:rPr>
      <w:color w:val="0000FF"/>
      <w:u w:val="single"/>
    </w:rPr>
  </w:style>
  <w:style w:type="paragraph" w:styleId="Nessunaspaziatura">
    <w:name w:val="No Spacing"/>
    <w:uiPriority w:val="1"/>
    <w:qFormat/>
    <w:rsid w:val="00B0207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8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1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0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application.cogeaps.it/cogeaps/login.o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regione.toscana.it/bancadati/atti/Contenuto.xml?id=5206944&amp;nomeFile=Delibera_n.153_del_11-02-2019-Allegato-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geaps.it./" TargetMode="External"/><Relationship Id="rId11" Type="http://schemas.openxmlformats.org/officeDocument/2006/relationships/hyperlink" Target="https://www.regione.toscana.it/documents/10180/11485366/Accordo+Stato+Regioni+n+14_2017/357f0e26-46df-4009-b08d-d4450261d6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gione.toscana.it/documents/10180/11485366/Accordo+Stato+Regioni+n+14_2017/357f0e26-46df-4009-b08d-d4450261d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.cogeaps.it/wp-content/uploads/2019/02/Guida-Crediti-ECM-Autoformazione.pdf" TargetMode="External"/><Relationship Id="rId14" Type="http://schemas.openxmlformats.org/officeDocument/2006/relationships/hyperlink" Target="https://ape.agenas.it/ecm/normativa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Giuricin</dc:creator>
  <cp:lastModifiedBy>Caiame</cp:lastModifiedBy>
  <cp:revision>2</cp:revision>
  <dcterms:created xsi:type="dcterms:W3CDTF">2022-05-24T10:40:00Z</dcterms:created>
  <dcterms:modified xsi:type="dcterms:W3CDTF">2022-05-24T10:40:00Z</dcterms:modified>
</cp:coreProperties>
</file>